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  <w:lang w:val="en-US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  <w:u w:val="single"/>
        </w:rPr>
      </w:pPr>
      <w:r w:rsidRPr="00D50815">
        <w:rPr>
          <w:b/>
          <w:snapToGrid/>
          <w:sz w:val="24"/>
          <w:szCs w:val="24"/>
          <w:u w:val="single"/>
        </w:rPr>
        <w:t>РУКОВОДСТВО ПО ЭКСПЕРТНОЙ ОЦЕНКЕ</w:t>
      </w: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4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napToGrid/>
          <w:sz w:val="22"/>
          <w:szCs w:val="24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napToGrid/>
          <w:sz w:val="22"/>
          <w:szCs w:val="24"/>
        </w:rPr>
      </w:pPr>
    </w:p>
    <w:p w:rsidR="00D50815" w:rsidRPr="00C34F67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4"/>
        </w:rPr>
      </w:pPr>
    </w:p>
    <w:p w:rsid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4B25A4" w:rsidRPr="004B25A4" w:rsidRDefault="004B25A4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4"/>
          <w:lang w:val="en-US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2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2"/>
          <w:szCs w:val="22"/>
        </w:rPr>
      </w:pPr>
    </w:p>
    <w:p w:rsidR="00D50815" w:rsidRPr="00D50815" w:rsidRDefault="00D50815" w:rsidP="00D5081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0"/>
        </w:rPr>
      </w:pPr>
      <w:r w:rsidRPr="00D50815">
        <w:rPr>
          <w:snapToGrid/>
          <w:sz w:val="20"/>
        </w:rPr>
        <w:t>Москва</w:t>
      </w:r>
    </w:p>
    <w:bookmarkEnd w:id="0"/>
    <w:bookmarkEnd w:id="1"/>
    <w:bookmarkEnd w:id="2"/>
    <w:bookmarkEnd w:id="3"/>
    <w:p w:rsidR="004B25A4" w:rsidRPr="004B25A4" w:rsidRDefault="004B25A4" w:rsidP="004B25A4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napToGrid/>
          <w:sz w:val="20"/>
        </w:rPr>
      </w:pPr>
      <w:r>
        <w:rPr>
          <w:snapToGrid/>
          <w:sz w:val="20"/>
        </w:rPr>
        <w:t>2015 г.</w:t>
      </w:r>
    </w:p>
    <w:p w:rsidR="00F55C97" w:rsidRDefault="00D50815" w:rsidP="00D50815">
      <w:pPr>
        <w:spacing w:line="240" w:lineRule="auto"/>
        <w:ind w:firstLine="0"/>
        <w:rPr>
          <w:b/>
          <w:sz w:val="24"/>
          <w:szCs w:val="24"/>
        </w:rPr>
      </w:pPr>
      <w:r>
        <w:rPr>
          <w:rStyle w:val="FontStyle128"/>
          <w:sz w:val="24"/>
          <w:szCs w:val="24"/>
        </w:rPr>
        <w:lastRenderedPageBreak/>
        <w:t xml:space="preserve">          </w:t>
      </w:r>
      <w:r w:rsidR="00ED29E4" w:rsidRPr="00B32644">
        <w:rPr>
          <w:rStyle w:val="FontStyle128"/>
          <w:sz w:val="24"/>
          <w:szCs w:val="24"/>
        </w:rPr>
        <w:t xml:space="preserve">Следующие условия проведения </w:t>
      </w:r>
      <w:r w:rsidR="00ED29E4">
        <w:rPr>
          <w:rStyle w:val="FontStyle128"/>
          <w:sz w:val="24"/>
          <w:szCs w:val="24"/>
        </w:rPr>
        <w:t>закупочной процедуры</w:t>
      </w:r>
      <w:r w:rsidR="00ED29E4"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 w:rsidR="00ED29E4">
        <w:rPr>
          <w:rStyle w:val="FontStyle128"/>
          <w:sz w:val="24"/>
          <w:szCs w:val="24"/>
        </w:rPr>
        <w:t xml:space="preserve">закупочной </w:t>
      </w:r>
      <w:r w:rsidR="00ED29E4" w:rsidRPr="00B32644">
        <w:rPr>
          <w:rStyle w:val="FontStyle128"/>
          <w:sz w:val="24"/>
          <w:szCs w:val="24"/>
        </w:rPr>
        <w:t>документации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D50815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Интер</w:t>
            </w:r>
            <w:proofErr w:type="spellEnd"/>
            <w:r w:rsid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="001C058B"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 w:rsidR="001C058B"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  <w:lang w:val="ru-RU"/>
        </w:rPr>
        <w:t xml:space="preserve"> оказание у</w:t>
      </w:r>
      <w:r w:rsidR="00866E53">
        <w:rPr>
          <w:rFonts w:ascii="Times New Roman" w:hAnsi="Times New Roman"/>
          <w:sz w:val="24"/>
          <w:szCs w:val="24"/>
          <w:lang w:val="ru-RU"/>
        </w:rPr>
        <w:t>слуг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lastRenderedPageBreak/>
        <w:t>-</w:t>
      </w:r>
      <w:r w:rsidRPr="00DB4FDD">
        <w:rPr>
          <w:sz w:val="24"/>
        </w:rPr>
        <w:tab/>
        <w:t>другие вопросы Закупочной комиссии.</w:t>
      </w:r>
    </w:p>
    <w:p w:rsidR="00C066B2" w:rsidRDefault="00C066B2" w:rsidP="00C066B2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="00C066B2" w:rsidRPr="00DB4FDD">
        <w:rPr>
          <w:sz w:val="24"/>
        </w:rPr>
        <w:t>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C34F67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C34F67">
        <w:rPr>
          <w:sz w:val="24"/>
        </w:rPr>
        <w:t xml:space="preserve"> (приложение №6).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AD7BEE" w:rsidRPr="00AD7BEE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рассматриваются вопросы оценки деловой репутации участника закупочной </w:t>
      </w:r>
      <w:r w:rsidR="00A45027">
        <w:rPr>
          <w:sz w:val="24"/>
        </w:rPr>
        <w:lastRenderedPageBreak/>
        <w:t>процедуры (проверка наличия/отсутствия у участника стоп и риск факторов, указанных в Т.1 Закупочной документации</w:t>
      </w:r>
      <w:r w:rsidRPr="00AD7BEE">
        <w:rPr>
          <w:sz w:val="24"/>
        </w:rPr>
        <w:t xml:space="preserve">). 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</w:t>
      </w:r>
    </w:p>
    <w:p w:rsidR="004B25A4" w:rsidRPr="00263660" w:rsidRDefault="00DB4FDD" w:rsidP="00263660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  <w:bookmarkStart w:id="8" w:name="_GoBack"/>
      <w:bookmarkEnd w:id="8"/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</w:t>
      </w:r>
      <w:r w:rsidRPr="00DB4FDD">
        <w:rPr>
          <w:sz w:val="24"/>
        </w:rPr>
        <w:lastRenderedPageBreak/>
        <w:t xml:space="preserve">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</w:t>
      </w:r>
      <w:r w:rsidR="000F2F0C">
        <w:rPr>
          <w:snapToGrid/>
          <w:sz w:val="24"/>
          <w:szCs w:val="24"/>
        </w:rPr>
        <w:t>5</w:t>
      </w:r>
      <w:r w:rsidRPr="006C0EA7">
        <w:rPr>
          <w:snapToGrid/>
          <w:sz w:val="24"/>
          <w:szCs w:val="24"/>
        </w:rPr>
        <w:t>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417B51">
        <w:rPr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417B51">
        <w:rPr>
          <w:sz w:val="24"/>
          <w:szCs w:val="24"/>
        </w:rPr>
        <w:t>,</w:t>
      </w:r>
      <w:proofErr w:type="gramEnd"/>
      <w:r w:rsidR="00417B51">
        <w:rPr>
          <w:sz w:val="24"/>
          <w:szCs w:val="24"/>
        </w:rPr>
        <w:t xml:space="preserve"> при проведении переговоров, </w:t>
      </w:r>
      <w:r w:rsidR="00417B51">
        <w:rPr>
          <w:sz w:val="24"/>
          <w:szCs w:val="24"/>
        </w:rPr>
        <w:lastRenderedPageBreak/>
        <w:t>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D50815">
          <w:headerReference w:type="first" r:id="rId9"/>
          <w:pgSz w:w="11906" w:h="16838" w:code="9"/>
          <w:pgMar w:top="709" w:right="850" w:bottom="1134" w:left="1276" w:header="142" w:footer="0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 участие в закупочной процедуре на право заключения договора на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№ п/п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8122C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37109F">
              <w:rPr>
                <w:sz w:val="24"/>
                <w:szCs w:val="24"/>
              </w:rPr>
              <w:t xml:space="preserve">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1842"/>
        <w:gridCol w:w="5812"/>
        <w:gridCol w:w="1418"/>
        <w:gridCol w:w="2126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>в закупочной процедуре на право заключения договора на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lastRenderedPageBreak/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lastRenderedPageBreak/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D50815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0F2F0C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0F2F0C">
              <w:rPr>
                <w:b/>
                <w:bCs/>
                <w:snapToGrid/>
                <w:sz w:val="24"/>
                <w:szCs w:val="24"/>
              </w:rPr>
              <w:t>Значимость критерия, методика оценки критерия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532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Оценки  Участников согласно шкалы оценок</w:t>
            </w:r>
          </w:p>
        </w:tc>
      </w:tr>
      <w:tr w:rsidR="00796967" w:rsidRPr="0094353B" w:rsidTr="00D50815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D50815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 w:rsidR="00D50815">
              <w:rPr>
                <w:b/>
                <w:bCs/>
                <w:i/>
                <w:iCs/>
                <w:snapToGrid/>
                <w:sz w:val="24"/>
                <w:szCs w:val="24"/>
              </w:rPr>
              <w:t>3</w:t>
            </w:r>
          </w:p>
        </w:tc>
      </w:tr>
      <w:tr w:rsidR="00796967" w:rsidRPr="0094353B" w:rsidTr="00D50815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>, в т.ч.: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D50815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0F2F0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0F2F0C">
              <w:rPr>
                <w:snapToGrid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0F2F0C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F2F0C">
              <w:rPr>
                <w:sz w:val="24"/>
                <w:szCs w:val="24"/>
              </w:rPr>
              <w:t>Финансовая устойчивость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Default="008122CA" w:rsidP="000F2F0C">
            <w:pPr>
              <w:pStyle w:val="affa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Согласно м</w:t>
            </w:r>
            <w:r w:rsidR="000F2F0C" w:rsidRPr="00A849F5">
              <w:rPr>
                <w:b/>
                <w:iCs/>
              </w:rPr>
              <w:t>етодик</w:t>
            </w:r>
            <w:r>
              <w:rPr>
                <w:b/>
                <w:iCs/>
              </w:rPr>
              <w:t>е</w:t>
            </w:r>
            <w:r w:rsidR="000F2F0C">
              <w:rPr>
                <w:b/>
                <w:iCs/>
              </w:rPr>
              <w:t xml:space="preserve"> проведения экспертизы финансово-экономической устойчивости участников закупочных процедур</w:t>
            </w:r>
          </w:p>
          <w:p w:rsidR="000F2F0C" w:rsidRDefault="000F2F0C" w:rsidP="000F2F0C">
            <w:pPr>
              <w:pStyle w:val="affa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Значимость критерия – 0,3</w:t>
            </w:r>
            <w:r w:rsidRPr="000F2F0C">
              <w:rPr>
                <w:b/>
                <w:iCs/>
              </w:rPr>
              <w:t>5</w:t>
            </w:r>
            <w:r>
              <w:rPr>
                <w:b/>
                <w:iCs/>
              </w:rPr>
              <w:t xml:space="preserve"> </w:t>
            </w:r>
          </w:p>
          <w:p w:rsidR="000F2F0C" w:rsidRDefault="000F2F0C" w:rsidP="000F2F0C">
            <w:pPr>
              <w:pStyle w:val="affa"/>
              <w:ind w:left="0"/>
              <w:rPr>
                <w:iCs/>
              </w:rPr>
            </w:pPr>
            <w:r>
              <w:rPr>
                <w:iCs/>
              </w:rPr>
              <w:t>Максимальное значение в баллах по критерию – 5 баллов.</w:t>
            </w:r>
          </w:p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D50815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0F2F0C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2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6F767D" w:rsidRDefault="000F2F0C" w:rsidP="000F2F0C">
            <w:pPr>
              <w:pStyle w:val="affa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Значимость критерия – 0,</w:t>
            </w:r>
            <w:r w:rsidRPr="000F2F0C">
              <w:rPr>
                <w:b/>
                <w:iCs/>
              </w:rPr>
              <w:t>4</w:t>
            </w:r>
            <w:r>
              <w:rPr>
                <w:b/>
                <w:iCs/>
              </w:rPr>
              <w:t>0</w:t>
            </w:r>
          </w:p>
          <w:p w:rsidR="000F2F0C" w:rsidRDefault="000F2F0C" w:rsidP="000F2F0C">
            <w:pPr>
              <w:pStyle w:val="affa"/>
              <w:ind w:left="0"/>
              <w:rPr>
                <w:iCs/>
              </w:rPr>
            </w:pPr>
          </w:p>
          <w:p w:rsidR="000F2F0C" w:rsidRDefault="000F2F0C" w:rsidP="000F2F0C">
            <w:pPr>
              <w:pStyle w:val="affa"/>
              <w:ind w:left="0"/>
              <w:rPr>
                <w:iCs/>
              </w:rPr>
            </w:pPr>
            <w:r>
              <w:rPr>
                <w:iCs/>
              </w:rPr>
              <w:t>Максимальное значение в баллах по критерию – 5 баллов.</w:t>
            </w:r>
          </w:p>
          <w:p w:rsidR="000F2F0C" w:rsidRDefault="000F2F0C" w:rsidP="000F2F0C">
            <w:pPr>
              <w:pStyle w:val="affa"/>
              <w:ind w:left="0"/>
              <w:rPr>
                <w:iCs/>
              </w:rPr>
            </w:pPr>
          </w:p>
          <w:p w:rsidR="000F2F0C" w:rsidRDefault="000F2F0C" w:rsidP="000F2F0C">
            <w:pPr>
              <w:pStyle w:val="affa"/>
              <w:ind w:left="0"/>
              <w:rPr>
                <w:iCs/>
              </w:rPr>
            </w:pPr>
            <w:r>
              <w:rPr>
                <w:iCs/>
              </w:rPr>
              <w:t>Баллы, присуждаемые i-ой заявке по критерию «Квалификация участника», определяются по формуле</w:t>
            </w:r>
          </w:p>
          <w:p w:rsidR="000F2F0C" w:rsidRDefault="000F2F0C" w:rsidP="000F2F0C">
            <w:pPr>
              <w:pStyle w:val="affa"/>
              <w:ind w:left="0"/>
              <w:rPr>
                <w:iCs/>
              </w:rPr>
            </w:pPr>
            <w:proofErr w:type="spellStart"/>
            <w:r>
              <w:rPr>
                <w:iCs/>
                <w:lang w:val="en-US"/>
              </w:rPr>
              <w:t>Rc</w:t>
            </w:r>
            <w:r>
              <w:rPr>
                <w:iCs/>
                <w:vertAlign w:val="subscript"/>
                <w:lang w:val="en-US"/>
              </w:rPr>
              <w:t>i</w:t>
            </w:r>
            <w:proofErr w:type="spellEnd"/>
            <w:r>
              <w:rPr>
                <w:iCs/>
              </w:rPr>
              <w:t xml:space="preserve"> = </w:t>
            </w:r>
            <w:r w:rsidR="0019412F">
              <w:rPr>
                <w:iCs/>
              </w:rPr>
              <w:t>Балл</w:t>
            </w:r>
            <w:proofErr w:type="spellStart"/>
            <w:r>
              <w:rPr>
                <w:iCs/>
                <w:vertAlign w:val="subscript"/>
                <w:lang w:val="en-US"/>
              </w:rPr>
              <w:t>i</w:t>
            </w:r>
            <w:proofErr w:type="spellEnd"/>
            <w:r>
              <w:rPr>
                <w:iCs/>
                <w:vertAlign w:val="subscript"/>
              </w:rPr>
              <w:t>1</w:t>
            </w:r>
            <w:r>
              <w:rPr>
                <w:iCs/>
              </w:rPr>
              <w:t xml:space="preserve"> * </w:t>
            </w:r>
            <w:r>
              <w:rPr>
                <w:iCs/>
                <w:lang w:val="en-US"/>
              </w:rPr>
              <w:t>d</w:t>
            </w:r>
            <w:r>
              <w:rPr>
                <w:iCs/>
                <w:vertAlign w:val="subscript"/>
              </w:rPr>
              <w:t>1</w:t>
            </w:r>
            <w:r>
              <w:rPr>
                <w:iCs/>
              </w:rPr>
              <w:t>+</w:t>
            </w:r>
            <w:r w:rsidR="0019412F">
              <w:rPr>
                <w:iCs/>
              </w:rPr>
              <w:t>Балл</w:t>
            </w:r>
            <w:proofErr w:type="spellStart"/>
            <w:r>
              <w:rPr>
                <w:iCs/>
                <w:vertAlign w:val="subscript"/>
                <w:lang w:val="en-US"/>
              </w:rPr>
              <w:t>i</w:t>
            </w:r>
            <w:proofErr w:type="spellEnd"/>
            <w:r>
              <w:rPr>
                <w:iCs/>
                <w:vertAlign w:val="subscript"/>
              </w:rPr>
              <w:t>2</w:t>
            </w:r>
            <w:r>
              <w:rPr>
                <w:iCs/>
              </w:rPr>
              <w:t xml:space="preserve"> * </w:t>
            </w:r>
            <w:r>
              <w:rPr>
                <w:iCs/>
                <w:lang w:val="en-US"/>
              </w:rPr>
              <w:t>d</w:t>
            </w:r>
            <w:r>
              <w:rPr>
                <w:iCs/>
                <w:vertAlign w:val="subscript"/>
              </w:rPr>
              <w:t>2</w:t>
            </w:r>
            <w:r>
              <w:rPr>
                <w:iCs/>
              </w:rPr>
              <w:t xml:space="preserve"> + </w:t>
            </w:r>
            <w:r w:rsidR="0019412F">
              <w:rPr>
                <w:iCs/>
              </w:rPr>
              <w:t>Балл</w:t>
            </w:r>
            <w:proofErr w:type="spellStart"/>
            <w:r>
              <w:rPr>
                <w:iCs/>
                <w:vertAlign w:val="subscript"/>
                <w:lang w:val="en-US"/>
              </w:rPr>
              <w:t>i</w:t>
            </w:r>
            <w:proofErr w:type="spellEnd"/>
            <w:r>
              <w:rPr>
                <w:iCs/>
                <w:vertAlign w:val="subscript"/>
              </w:rPr>
              <w:t>3</w:t>
            </w:r>
            <w:r>
              <w:rPr>
                <w:iCs/>
              </w:rPr>
              <w:t xml:space="preserve"> * </w:t>
            </w:r>
            <w:r>
              <w:rPr>
                <w:iCs/>
                <w:lang w:val="en-US"/>
              </w:rPr>
              <w:t>d</w:t>
            </w:r>
            <w:r>
              <w:rPr>
                <w:iCs/>
                <w:vertAlign w:val="subscript"/>
              </w:rPr>
              <w:t>3</w:t>
            </w:r>
            <w:r>
              <w:rPr>
                <w:iCs/>
              </w:rPr>
              <w:t>,</w:t>
            </w:r>
          </w:p>
          <w:p w:rsidR="000F2F0C" w:rsidRDefault="000F2F0C" w:rsidP="000F2F0C">
            <w:pPr>
              <w:pStyle w:val="affa"/>
              <w:ind w:left="0"/>
              <w:rPr>
                <w:iCs/>
              </w:rPr>
            </w:pPr>
            <w:r>
              <w:rPr>
                <w:iCs/>
              </w:rPr>
              <w:t>где:</w:t>
            </w:r>
          </w:p>
          <w:p w:rsidR="000F2F0C" w:rsidRDefault="000F2F0C" w:rsidP="000F2F0C">
            <w:pPr>
              <w:pStyle w:val="affa"/>
              <w:ind w:left="0"/>
              <w:rPr>
                <w:iCs/>
              </w:rPr>
            </w:pPr>
            <w:r>
              <w:rPr>
                <w:iCs/>
                <w:lang w:val="en-US"/>
              </w:rPr>
              <w:t>Rc</w:t>
            </w:r>
            <w:r>
              <w:rPr>
                <w:iCs/>
                <w:vertAlign w:val="subscript"/>
                <w:lang w:val="en-US"/>
              </w:rPr>
              <w:t>i</w:t>
            </w:r>
            <w:r>
              <w:rPr>
                <w:iCs/>
              </w:rPr>
              <w:t xml:space="preserve"> – баллы, присуждаемые </w:t>
            </w:r>
            <w:r>
              <w:rPr>
                <w:iCs/>
                <w:lang w:val="en-US"/>
              </w:rPr>
              <w:t>i</w:t>
            </w:r>
            <w:r>
              <w:rPr>
                <w:iCs/>
              </w:rPr>
              <w:t>-й заявке по указанному критерию;</w:t>
            </w:r>
          </w:p>
          <w:p w:rsidR="000F2F0C" w:rsidRDefault="0019412F" w:rsidP="000F2F0C">
            <w:pPr>
              <w:pStyle w:val="affa"/>
              <w:ind w:left="0"/>
              <w:rPr>
                <w:iCs/>
              </w:rPr>
            </w:pPr>
            <w:r>
              <w:rPr>
                <w:iCs/>
              </w:rPr>
              <w:t>Балл</w:t>
            </w:r>
            <w:proofErr w:type="spellStart"/>
            <w:proofErr w:type="gramStart"/>
            <w:r w:rsidR="000F2F0C">
              <w:rPr>
                <w:iCs/>
                <w:vertAlign w:val="subscript"/>
                <w:lang w:val="en-US"/>
              </w:rPr>
              <w:t>ik</w:t>
            </w:r>
            <w:proofErr w:type="spellEnd"/>
            <w:proofErr w:type="gramEnd"/>
            <w:r w:rsidR="000F2F0C" w:rsidRPr="00A12C56">
              <w:rPr>
                <w:iCs/>
                <w:vertAlign w:val="subscript"/>
              </w:rPr>
              <w:t xml:space="preserve"> </w:t>
            </w:r>
            <w:r w:rsidR="000F2F0C">
              <w:rPr>
                <w:iCs/>
              </w:rPr>
              <w:t xml:space="preserve">– значение в баллах, присуждаемое </w:t>
            </w:r>
            <w:proofErr w:type="spellStart"/>
            <w:r w:rsidR="000F2F0C">
              <w:rPr>
                <w:iCs/>
                <w:lang w:val="en-US"/>
              </w:rPr>
              <w:t>i</w:t>
            </w:r>
            <w:proofErr w:type="spellEnd"/>
            <w:r w:rsidR="000F2F0C">
              <w:rPr>
                <w:iCs/>
              </w:rPr>
              <w:t xml:space="preserve">-й заявке на участие в торговой процедуре по </w:t>
            </w:r>
            <w:r w:rsidR="000F2F0C">
              <w:rPr>
                <w:iCs/>
                <w:lang w:val="en-US"/>
              </w:rPr>
              <w:t>k</w:t>
            </w:r>
            <w:r w:rsidR="000F2F0C">
              <w:rPr>
                <w:iCs/>
              </w:rPr>
              <w:t xml:space="preserve">-му показателю, где </w:t>
            </w:r>
            <w:r w:rsidR="000F2F0C">
              <w:rPr>
                <w:iCs/>
                <w:lang w:val="en-US"/>
              </w:rPr>
              <w:t>k</w:t>
            </w:r>
            <w:r w:rsidR="000F2F0C">
              <w:rPr>
                <w:iCs/>
              </w:rPr>
              <w:t xml:space="preserve"> – количество установленных показателей;</w:t>
            </w:r>
          </w:p>
          <w:p w:rsidR="00796967" w:rsidRPr="0094353B" w:rsidRDefault="000F2F0C" w:rsidP="000F2F0C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iCs/>
                <w:lang w:val="en-US"/>
              </w:rPr>
              <w:t>d</w:t>
            </w:r>
            <w:r>
              <w:rPr>
                <w:iCs/>
                <w:vertAlign w:val="subscript"/>
                <w:lang w:val="en-US"/>
              </w:rPr>
              <w:t>k</w:t>
            </w:r>
            <w:r>
              <w:rPr>
                <w:iCs/>
              </w:rPr>
              <w:t xml:space="preserve"> – вес </w:t>
            </w:r>
            <w:r>
              <w:rPr>
                <w:iCs/>
                <w:lang w:val="en-US"/>
              </w:rPr>
              <w:t>k</w:t>
            </w:r>
            <w:r>
              <w:rPr>
                <w:iCs/>
              </w:rPr>
              <w:t>-го показателя.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0F2F0C" w:rsidRPr="00CF55A6" w:rsidTr="00D50815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CF55A6" w:rsidRDefault="000F2F0C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2</w:t>
            </w:r>
            <w:r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0F2F0C" w:rsidRDefault="000F2F0C" w:rsidP="0019412F">
            <w:pPr>
              <w:pStyle w:val="affa"/>
              <w:ind w:left="0"/>
              <w:rPr>
                <w:iCs/>
              </w:rPr>
            </w:pPr>
            <w:r w:rsidRPr="000F2F0C">
              <w:rPr>
                <w:iCs/>
              </w:rPr>
              <w:t xml:space="preserve">Показатель «Размер страховой премии по </w:t>
            </w:r>
            <w:r w:rsidR="0019412F">
              <w:rPr>
                <w:iCs/>
              </w:rPr>
              <w:lastRenderedPageBreak/>
              <w:t xml:space="preserve">добровольному медицинскому </w:t>
            </w:r>
            <w:r w:rsidRPr="000F2F0C">
              <w:rPr>
                <w:iCs/>
              </w:rPr>
              <w:t>страхованию»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iCs/>
              </w:rPr>
              <w:lastRenderedPageBreak/>
              <w:t xml:space="preserve">Вес показателя «Размер страховой премии по </w:t>
            </w:r>
            <w:r w:rsidR="0019412F">
              <w:rPr>
                <w:iCs/>
              </w:rPr>
              <w:t xml:space="preserve">добровольному медицинскому </w:t>
            </w:r>
            <w:r w:rsidR="0019412F" w:rsidRPr="000F2F0C">
              <w:rPr>
                <w:iCs/>
              </w:rPr>
              <w:t>страхованию</w:t>
            </w:r>
            <w:r w:rsidRPr="000F2F0C">
              <w:rPr>
                <w:i/>
                <w:iCs/>
              </w:rPr>
              <w:t xml:space="preserve">» </w:t>
            </w:r>
            <w:r w:rsidRPr="000F2F0C">
              <w:rPr>
                <w:iCs/>
              </w:rPr>
              <w:t>- 0,35.</w:t>
            </w:r>
          </w:p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iCs/>
              </w:rPr>
              <w:t>Оценивается объем страховой премии по страхования автотранспорта по следующей формуле:</w:t>
            </w:r>
          </w:p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</w:p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EDCF64" wp14:editId="2A3A09EB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27940</wp:posOffset>
                      </wp:positionV>
                      <wp:extent cx="2295525" cy="506730"/>
                      <wp:effectExtent l="0" t="0" r="0" b="0"/>
                      <wp:wrapTopAndBottom/>
                      <wp:docPr id="4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5525" cy="5067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0F2F0C" w:rsidRPr="002D093B" w:rsidRDefault="00263660" w:rsidP="006F767D">
                                  <w:pPr>
                                    <w:pStyle w:val="affb"/>
                                    <w:spacing w:before="0" w:beforeAutospacing="0" w:after="0" w:afterAutospacing="0"/>
                                  </w:p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Балл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i1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F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F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min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∙4</m:t>
                                        </m:r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max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min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+1</m:t>
                                    </m:r>
                                  </m:oMath>
                                  <w:r w:rsidR="000F2F0C">
                                    <w:rPr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2" o:spid="_x0000_s1026" type="#_x0000_t202" style="position:absolute;margin-left:5.35pt;margin-top:2.2pt;width:180.75pt;height:39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GZAQIAAEwEAAAOAAAAZHJzL2Uyb0RvYy54bWysVMFu2zAMvQ/YPwi6L3a9pduMOMXWorsM&#10;a7F2H6DIUixAEjVKiZ19/Sg5SYfu1GEX2abIx8dH0quryVm2VxgN+I5fLGrOlJfQG7/t+I/H2zcf&#10;OItJ+F5Y8KrjBxX51fr1q9UYWtXAALZXyAjEx3YMHR9SCm1VRTkoJ+ICgvJ0qQGdSPSJ26pHMRK6&#10;s1VT15fVCNgHBKliJOvNfMnXBV9rJdOd1lElZjtO3FI5sZybfFbrlWi3KMJg5JGG+AcWThhPSc9Q&#10;NyIJtkPzF5QzEiGCTgsJrgKtjVSlBqrmon5WzcMggiq1kDgxnGWK/w9WftvfIzN9x99x5oWjFj2q&#10;KX2GiTVZnDHElnweAnmliczU5JM9kjHXPGl0+UnVMLonmQ9naQmLSTI2zcflsllyJuluWV++f1u0&#10;r56iA8b0RYFj+aXjSK0rior915iICbmeXHIyD7fG2mzPFGcq5S0drMoO1n9XmiorjLIhStxuri2y&#10;uf00n8T0NASEXgKyoybgF8YeQ3K0KlP3wvhzUMkPPp3jnfGARYiyEyoXsBc0zWkqjSDievY/STEL&#10;kLVI02Y69nAD/YFaSJua7ujQFsaOS2sCZwPgr+e2kTai4/HnTqDiDJO9hnmBhJfkT9kLJQ+fdgm0&#10;Kf3JGec0RyY0sqVtx/XKO/Hnd/F6+gmsfwMAAP//AwBQSwMEFAAGAAgAAAAhAB+Xp+bbAAAABwEA&#10;AA8AAABkcnMvZG93bnJldi54bWxMjk1PwzAQRO9I/AdrkbhRmxBoCdlUCMQV1PIhcXPjbRIRr6PY&#10;bcK/ZznBcTSjN69cz75XRxpjFxjhcmFAEdfBddwgvL0+XaxAxWTZ2T4wIXxThHV1elLawoWJN3Tc&#10;pkYJhGNhEdqUhkLrWLfkbVyEgVi6fRi9TRLHRrvRTgL3vc6MudHediwPrR3ooaX6a3vwCO/P+8+P&#10;3Lw0j/56mMJsNPtbjXh+Nt/fgUo0p78x/OqLOlTitAsHdlH1ks1Slgh5Dkrqq2WWgdohrPIMdFXq&#10;//7VDwAAAP//AwBQSwECLQAUAAYACAAAACEAtoM4kv4AAADhAQAAEwAAAAAAAAAAAAAAAAAAAAAA&#10;W0NvbnRlbnRfVHlwZXNdLnhtbFBLAQItABQABgAIAAAAIQA4/SH/1gAAAJQBAAALAAAAAAAAAAAA&#10;AAAAAC8BAABfcmVscy8ucmVsc1BLAQItABQABgAIAAAAIQDGt0GZAQIAAEwEAAAOAAAAAAAAAAAA&#10;AAAAAC4CAABkcnMvZTJvRG9jLnhtbFBLAQItABQABgAIAAAAIQAfl6fm2wAAAAcBAAAPAAAAAAAA&#10;AAAAAAAAAFsEAABkcnMvZG93bnJldi54bWxQSwUGAAAAAAQABADzAAAAYwUAAAAA&#10;" filled="f" stroked="f">
                      <v:textbox>
                        <w:txbxContent>
                          <w:p w:rsidR="000F2F0C" w:rsidRPr="002D093B" w:rsidRDefault="004B25A4" w:rsidP="006F767D">
                            <w:pPr>
                              <w:pStyle w:val="affb"/>
                              <w:spacing w:before="0" w:beforeAutospacing="0" w:after="0" w:afterAutospacing="0"/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Балл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i1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min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w:rPr>
                                      <w:rFonts w:ascii="Cambria Math" w:eastAsia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∙4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max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min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+1</m:t>
                              </m:r>
                            </m:oMath>
                            <w:r w:rsidR="000F2F0C">
                              <w:rPr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0F2F0C">
              <w:rPr>
                <w:iCs/>
              </w:rPr>
              <w:t>где:</w:t>
            </w:r>
          </w:p>
          <w:tbl>
            <w:tblPr>
              <w:tblW w:w="4948" w:type="dxa"/>
              <w:tblLayout w:type="fixed"/>
              <w:tblLook w:val="04A0" w:firstRow="1" w:lastRow="0" w:firstColumn="1" w:lastColumn="0" w:noHBand="0" w:noVBand="1"/>
            </w:tblPr>
            <w:tblGrid>
              <w:gridCol w:w="4948"/>
            </w:tblGrid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0F2F0C">
                    <w:rPr>
                      <w:i/>
                      <w:iCs/>
                      <w:sz w:val="24"/>
                      <w:szCs w:val="24"/>
                    </w:rPr>
                    <w:t xml:space="preserve">Балл </w:t>
                  </w:r>
                  <w:r w:rsidRPr="000F2F0C">
                    <w:rPr>
                      <w:i/>
                      <w:iCs/>
                      <w:sz w:val="24"/>
                      <w:szCs w:val="24"/>
                      <w:vertAlign w:val="subscript"/>
                    </w:rPr>
                    <w:t>i1</w:t>
                  </w:r>
                  <w:r w:rsidRPr="000F2F0C">
                    <w:rPr>
                      <w:sz w:val="24"/>
                      <w:szCs w:val="24"/>
                    </w:rPr>
                    <w:t xml:space="preserve"> – бальная оценка по критерию для i-го </w:t>
                  </w:r>
                </w:p>
                <w:p w:rsidR="000F2F0C" w:rsidRPr="000F2F0C" w:rsidRDefault="000F2F0C" w:rsidP="000F2F0C">
                  <w:pPr>
                    <w:spacing w:line="240" w:lineRule="auto"/>
                    <w:ind w:firstLine="0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sz w:val="24"/>
                      <w:szCs w:val="24"/>
                    </w:rPr>
                    <w:t>Участника по оцениваемому критерию</w:t>
                  </w:r>
                  <w:r w:rsidRPr="000F2F0C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0F2F0C">
                    <w:rPr>
                      <w:sz w:val="24"/>
                      <w:szCs w:val="24"/>
                    </w:rPr>
                    <w:t>2</w:t>
                  </w:r>
                  <w:r w:rsidRPr="000F2F0C">
                    <w:rPr>
                      <w:sz w:val="24"/>
                      <w:szCs w:val="24"/>
                      <w:lang w:val="en-US"/>
                    </w:rPr>
                    <w:t>.1</w:t>
                  </w:r>
                  <w:r w:rsidRPr="000F2F0C">
                    <w:rPr>
                      <w:sz w:val="24"/>
                      <w:szCs w:val="24"/>
                    </w:rPr>
                    <w:t>;</w:t>
                  </w:r>
                </w:p>
              </w:tc>
            </w:tr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ind w:firstLine="0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  <w:lang w:val="en-US"/>
                    </w:rPr>
                    <w:t>F</w:t>
                  </w: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</w:rPr>
                    <w:t xml:space="preserve">max </w:t>
                  </w:r>
                  <w:r w:rsidRPr="000F2F0C">
                    <w:rPr>
                      <w:rFonts w:ascii="Arial CYR" w:hAnsi="Arial CYR" w:cs="Arial CYR"/>
                      <w:sz w:val="24"/>
                      <w:szCs w:val="24"/>
                    </w:rPr>
                    <w:t xml:space="preserve">– </w:t>
                  </w:r>
                  <w:r w:rsidRPr="000F2F0C">
                    <w:rPr>
                      <w:iCs/>
                      <w:sz w:val="24"/>
                      <w:szCs w:val="24"/>
                    </w:rPr>
                    <w:t xml:space="preserve">максимальный размер начисленных за 2014 год страховых премий по </w:t>
                  </w:r>
                  <w:r w:rsidR="0019412F" w:rsidRPr="0019412F">
                    <w:rPr>
                      <w:iCs/>
                      <w:sz w:val="24"/>
                      <w:szCs w:val="24"/>
                    </w:rPr>
                    <w:t>добровольному медицинскому страхованию</w:t>
                  </w:r>
                  <w:r w:rsidRPr="000F2F0C">
                    <w:rPr>
                      <w:iCs/>
                      <w:sz w:val="24"/>
                      <w:szCs w:val="24"/>
                    </w:rPr>
                    <w:t xml:space="preserve"> среди всех участников</w:t>
                  </w:r>
                </w:p>
              </w:tc>
            </w:tr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ind w:firstLine="0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  <w:lang w:val="en-US"/>
                    </w:rPr>
                    <w:t>F</w:t>
                  </w: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</w:rPr>
                    <w:t>min</w:t>
                  </w:r>
                  <w:r w:rsidRPr="000F2F0C">
                    <w:rPr>
                      <w:rFonts w:ascii="Arial CYR" w:hAnsi="Arial CYR" w:cs="Arial CYR"/>
                      <w:sz w:val="24"/>
                      <w:szCs w:val="24"/>
                    </w:rPr>
                    <w:t xml:space="preserve"> – </w:t>
                  </w:r>
                  <w:r w:rsidRPr="000F2F0C">
                    <w:rPr>
                      <w:iCs/>
                      <w:sz w:val="24"/>
                      <w:szCs w:val="24"/>
                    </w:rPr>
                    <w:t xml:space="preserve">минимальный размер начисленных за 2013 год страховых премий по </w:t>
                  </w:r>
                  <w:r w:rsidR="0019412F" w:rsidRPr="0019412F">
                    <w:rPr>
                      <w:iCs/>
                      <w:sz w:val="24"/>
                      <w:szCs w:val="24"/>
                    </w:rPr>
                    <w:t xml:space="preserve">добровольному медицинскому страхованию </w:t>
                  </w:r>
                  <w:r w:rsidRPr="000F2F0C">
                    <w:rPr>
                      <w:iCs/>
                      <w:sz w:val="24"/>
                      <w:szCs w:val="24"/>
                    </w:rPr>
                    <w:t>среди всех участников</w:t>
                  </w:r>
                </w:p>
              </w:tc>
            </w:tr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19412F">
                  <w:pPr>
                    <w:spacing w:line="240" w:lineRule="auto"/>
                    <w:ind w:firstLine="0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  <w:lang w:val="en-US"/>
                    </w:rPr>
                    <w:t>F</w:t>
                  </w: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</w:rPr>
                    <w:t>i</w:t>
                  </w:r>
                  <w:r w:rsidRPr="000F2F0C">
                    <w:rPr>
                      <w:rFonts w:ascii="Arial CYR" w:hAnsi="Arial CYR" w:cs="Arial CYR"/>
                      <w:sz w:val="24"/>
                      <w:szCs w:val="24"/>
                    </w:rPr>
                    <w:t xml:space="preserve"> – </w:t>
                  </w:r>
                  <w:r w:rsidRPr="000F2F0C">
                    <w:rPr>
                      <w:iCs/>
                      <w:sz w:val="24"/>
                      <w:szCs w:val="24"/>
                    </w:rPr>
                    <w:t>размер начисленных за 2014 год страховых премий i-</w:t>
                  </w:r>
                  <w:proofErr w:type="spellStart"/>
                  <w:r w:rsidRPr="000F2F0C">
                    <w:rPr>
                      <w:iCs/>
                      <w:sz w:val="24"/>
                      <w:szCs w:val="24"/>
                    </w:rPr>
                    <w:t>го</w:t>
                  </w:r>
                  <w:proofErr w:type="spellEnd"/>
                  <w:r w:rsidRPr="000F2F0C">
                    <w:rPr>
                      <w:iCs/>
                      <w:sz w:val="24"/>
                      <w:szCs w:val="24"/>
                    </w:rPr>
                    <w:t xml:space="preserve"> участника </w:t>
                  </w:r>
                  <w:r w:rsidR="0019412F">
                    <w:rPr>
                      <w:iCs/>
                      <w:sz w:val="24"/>
                      <w:szCs w:val="24"/>
                    </w:rPr>
                    <w:t xml:space="preserve">по </w:t>
                  </w:r>
                  <w:r w:rsidR="0019412F" w:rsidRPr="0019412F">
                    <w:rPr>
                      <w:iCs/>
                      <w:sz w:val="24"/>
                      <w:szCs w:val="24"/>
                    </w:rPr>
                    <w:t>добровольному медицинскому страхованию</w:t>
                  </w:r>
                  <w:r w:rsidRPr="000F2F0C">
                    <w:rPr>
                      <w:iCs/>
                      <w:sz w:val="24"/>
                      <w:szCs w:val="24"/>
                    </w:rPr>
                    <w:t xml:space="preserve"> (Форма статистической отчетности № 1-С «Сведения об основных показателях деятельности страховщика» строка 1</w:t>
                  </w:r>
                  <w:r w:rsidR="0019412F">
                    <w:rPr>
                      <w:iCs/>
                      <w:sz w:val="24"/>
                      <w:szCs w:val="24"/>
                    </w:rPr>
                    <w:t>26</w:t>
                  </w:r>
                </w:p>
              </w:tc>
            </w:tr>
          </w:tbl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</w:p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CF55A6" w:rsidRDefault="000F2F0C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квалификационная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CF55A6" w:rsidRDefault="000F2F0C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CF55A6" w:rsidRDefault="000F2F0C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0C" w:rsidRPr="00CF55A6" w:rsidRDefault="000F2F0C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0F2F0C" w:rsidRPr="002379CC" w:rsidTr="00D50815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0F2F0C" w:rsidRDefault="000F2F0C" w:rsidP="000F2F0C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>
              <w:rPr>
                <w:snapToGrid/>
                <w:sz w:val="24"/>
                <w:szCs w:val="24"/>
              </w:rPr>
              <w:lastRenderedPageBreak/>
              <w:t>2</w:t>
            </w:r>
            <w:r w:rsidRPr="002379CC">
              <w:rPr>
                <w:snapToGrid/>
                <w:sz w:val="24"/>
                <w:szCs w:val="24"/>
              </w:rPr>
              <w:t>.</w:t>
            </w:r>
            <w:r>
              <w:rPr>
                <w:snapToGrid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iCs/>
              </w:rPr>
              <w:t>Показатель «Размер собственных средств»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iCs/>
              </w:rPr>
              <w:t>Вес показателя «Размер собственных средств</w:t>
            </w:r>
            <w:r w:rsidRPr="000F2F0C">
              <w:rPr>
                <w:i/>
                <w:iCs/>
              </w:rPr>
              <w:t xml:space="preserve">» </w:t>
            </w:r>
            <w:r w:rsidRPr="000F2F0C">
              <w:rPr>
                <w:iCs/>
              </w:rPr>
              <w:t>- 0,35.</w:t>
            </w:r>
          </w:p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iCs/>
              </w:rPr>
              <w:t xml:space="preserve">Оценивается размер собственных средств </w:t>
            </w:r>
            <w:r w:rsidRPr="000F2F0C">
              <w:rPr>
                <w:iCs/>
                <w:lang w:val="en-US"/>
              </w:rPr>
              <w:t>i</w:t>
            </w:r>
            <w:r w:rsidRPr="000F2F0C">
              <w:rPr>
                <w:iCs/>
              </w:rPr>
              <w:t>-го участника по следующей формуле:</w:t>
            </w:r>
          </w:p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</w:p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4B877E" wp14:editId="7999F30B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27940</wp:posOffset>
                      </wp:positionV>
                      <wp:extent cx="2295525" cy="506730"/>
                      <wp:effectExtent l="0" t="0" r="0" b="0"/>
                      <wp:wrapTopAndBottom/>
                      <wp:docPr id="2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5525" cy="5067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0F2F0C" w:rsidRPr="002D093B" w:rsidRDefault="00263660" w:rsidP="006F767D">
                                  <w:pPr>
                                    <w:pStyle w:val="affb"/>
                                    <w:spacing w:before="0" w:beforeAutospacing="0" w:after="0" w:afterAutospacing="0"/>
                                  </w:p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Балл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i2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В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В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min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∙4</m:t>
                                        </m:r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max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min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+1</m:t>
                                    </m:r>
                                  </m:oMath>
                                  <w:r w:rsidR="000F2F0C">
                                    <w:rPr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.35pt;margin-top:2.2pt;width:180.75pt;height:39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3PNAwIAAFMEAAAOAAAAZHJzL2Uyb0RvYy54bWysVE1v2zAMvQ/YfxB0X5x6SLcZcYqtRXcZ&#10;1mFtf4AiS7EASdQoJXb260fJiTt0pxa7yDbFj8f3SK+vRmfZQWE04Ft+sVhypryEzvhdyx8fbt99&#10;5Cwm4TthwauWH1XkV5u3b9ZDaFQNPdhOIaMkPjZDaHmfUmiqKspeOREXEJSnSw3oRKJP3FUdioGy&#10;O1vVy+VlNQB2AUGqGMl6M13yTcmvtZLpTuuoErMtJ2ypnFjObT6rzVo0OxShN/IEQ7wChRPGU9E5&#10;1Y1Igu3R/JPKGYkQQaeFBFeB1kaq0gN1c7F81s19L4IqvRA5Mcw0xf+XVn4//EBmupbXnHnhSKIH&#10;NaYvMLI6kzOE2JDPfSCvNJKZRD7bIxlzz6NGl5/UDaN7ovk4U0u5mCRjXX9areoVZ5LuVsvLD+8L&#10;99VTdMCYvipwLL+0HEm6wqg4fIuJkJDr2SUX83BrrM32DHGCUt7S0arsYP1PpamzgigbosTd9toi&#10;m+Sn+SSk5yGg7CUgO2pK/MLYU0iOVmXqXhg/B5X64NMc74wHLESUnVC5gYOgaU5jEYKA68n/TMVE&#10;QOYijduxaDtLtoXuSErSwqY7OrSFoeXSmsBZD/j7uW2gxWh5/LUXqDjDZK9h2iPhJfkTiILMw+d9&#10;Am2KTLnwVOYEiCa3qHfasrwaf38Xr6d/weYPAAAA//8DAFBLAwQUAAYACAAAACEAH5en5tsAAAAH&#10;AQAADwAAAGRycy9kb3ducmV2LnhtbEyOTU/DMBBE70j8B2uRuFGbEGgJ2VQIxBXU8iFxc+NtEhGv&#10;o9htwr9nOcFxNKM3r1zPvldHGmMXGOFyYUAR18F13CC8vT5drEDFZNnZPjAhfFOEdXV6UtrChYk3&#10;dNymRgmEY2ER2pSGQutYt+RtXISBWLp9GL1NEsdGu9FOAve9zoy50d52LA+tHeihpfpre/AI78/7&#10;z4/cvDSP/nqYwmw0+1uNeH4239+BSjSnvzH86os6VOK0Cwd2UfWSzVKWCHkOSuqrZZaB2iGs8gx0&#10;Ver//tUPAAAA//8DAFBLAQItABQABgAIAAAAIQC2gziS/gAAAOEBAAATAAAAAAAAAAAAAAAAAAAA&#10;AABbQ29udGVudF9UeXBlc10ueG1sUEsBAi0AFAAGAAgAAAAhADj9If/WAAAAlAEAAAsAAAAAAAAA&#10;AAAAAAAALwEAAF9yZWxzLy5yZWxzUEsBAi0AFAAGAAgAAAAhAFVrc80DAgAAUwQAAA4AAAAAAAAA&#10;AAAAAAAALgIAAGRycy9lMm9Eb2MueG1sUEsBAi0AFAAGAAgAAAAhAB+Xp+bbAAAABwEAAA8AAAAA&#10;AAAAAAAAAAAAXQQAAGRycy9kb3ducmV2LnhtbFBLBQYAAAAABAAEAPMAAABlBQAAAAA=&#10;" filled="f" stroked="f">
                      <v:textbox>
                        <w:txbxContent>
                          <w:p w:rsidR="000F2F0C" w:rsidRPr="002D093B" w:rsidRDefault="004B25A4" w:rsidP="006F767D">
                            <w:pPr>
                              <w:pStyle w:val="affb"/>
                              <w:spacing w:before="0" w:beforeAutospacing="0" w:after="0" w:afterAutospacing="0"/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Балл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i2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В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В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min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w:rPr>
                                      <w:rFonts w:ascii="Cambria Math" w:eastAsia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∙4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max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min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+1</m:t>
                              </m:r>
                            </m:oMath>
                            <w:r w:rsidR="000F2F0C">
                              <w:rPr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0F2F0C">
              <w:rPr>
                <w:iCs/>
              </w:rPr>
              <w:t>где:</w:t>
            </w:r>
          </w:p>
          <w:tbl>
            <w:tblPr>
              <w:tblW w:w="4948" w:type="dxa"/>
              <w:tblLayout w:type="fixed"/>
              <w:tblLook w:val="04A0" w:firstRow="1" w:lastRow="0" w:firstColumn="1" w:lastColumn="0" w:noHBand="0" w:noVBand="1"/>
            </w:tblPr>
            <w:tblGrid>
              <w:gridCol w:w="4948"/>
            </w:tblGrid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0F2F0C">
                    <w:rPr>
                      <w:i/>
                      <w:iCs/>
                      <w:sz w:val="24"/>
                      <w:szCs w:val="24"/>
                    </w:rPr>
                    <w:t xml:space="preserve">Балл </w:t>
                  </w:r>
                  <w:r w:rsidRPr="000F2F0C">
                    <w:rPr>
                      <w:i/>
                      <w:iCs/>
                      <w:sz w:val="24"/>
                      <w:szCs w:val="24"/>
                      <w:vertAlign w:val="subscript"/>
                    </w:rPr>
                    <w:t xml:space="preserve">i2 </w:t>
                  </w:r>
                  <w:r w:rsidRPr="000F2F0C">
                    <w:rPr>
                      <w:sz w:val="24"/>
                      <w:szCs w:val="24"/>
                    </w:rPr>
                    <w:t xml:space="preserve">– бальная оценка по критерию для i-го </w:t>
                  </w:r>
                </w:p>
                <w:p w:rsidR="000F2F0C" w:rsidRPr="000F2F0C" w:rsidRDefault="000F2F0C" w:rsidP="000F2F0C">
                  <w:pPr>
                    <w:spacing w:line="240" w:lineRule="auto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sz w:val="24"/>
                      <w:szCs w:val="24"/>
                    </w:rPr>
                    <w:t>Участника по оцениваемому критерию</w:t>
                  </w:r>
                  <w:r w:rsidRPr="000F2F0C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0F2F0C">
                    <w:rPr>
                      <w:sz w:val="24"/>
                      <w:szCs w:val="24"/>
                    </w:rPr>
                    <w:t>2.</w:t>
                  </w:r>
                  <w:r w:rsidRPr="000F2F0C">
                    <w:rPr>
                      <w:sz w:val="24"/>
                      <w:szCs w:val="24"/>
                      <w:lang w:val="en-US"/>
                    </w:rPr>
                    <w:t>2</w:t>
                  </w:r>
                  <w:r w:rsidRPr="000F2F0C">
                    <w:rPr>
                      <w:sz w:val="24"/>
                      <w:szCs w:val="24"/>
                    </w:rPr>
                    <w:t>;</w:t>
                  </w:r>
                </w:p>
              </w:tc>
            </w:tr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</w:rPr>
                    <w:t xml:space="preserve">Вmax </w:t>
                  </w:r>
                  <w:r w:rsidRPr="000F2F0C">
                    <w:rPr>
                      <w:rFonts w:ascii="Arial CYR" w:hAnsi="Arial CYR" w:cs="Arial CYR"/>
                      <w:sz w:val="24"/>
                      <w:szCs w:val="24"/>
                    </w:rPr>
                    <w:t xml:space="preserve">– </w:t>
                  </w:r>
                  <w:r w:rsidRPr="000F2F0C">
                    <w:rPr>
                      <w:iCs/>
                      <w:sz w:val="24"/>
                      <w:szCs w:val="24"/>
                    </w:rPr>
                    <w:t>максимальный размер собственных средств среди всех участников за 2014 год.</w:t>
                  </w:r>
                </w:p>
              </w:tc>
            </w:tr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  <w:lang w:val="en-US"/>
                    </w:rPr>
                    <w:lastRenderedPageBreak/>
                    <w:t>B</w:t>
                  </w: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</w:rPr>
                    <w:t>min</w:t>
                  </w:r>
                  <w:r w:rsidRPr="000F2F0C">
                    <w:rPr>
                      <w:rFonts w:ascii="Arial CYR" w:hAnsi="Arial CYR" w:cs="Arial CYR"/>
                      <w:sz w:val="24"/>
                      <w:szCs w:val="24"/>
                    </w:rPr>
                    <w:t xml:space="preserve"> – </w:t>
                  </w:r>
                  <w:r w:rsidRPr="000F2F0C">
                    <w:rPr>
                      <w:iCs/>
                      <w:sz w:val="24"/>
                      <w:szCs w:val="24"/>
                    </w:rPr>
                    <w:t>минимальный размер собственных средств среди всех участников за 2014 год.</w:t>
                  </w:r>
                </w:p>
              </w:tc>
            </w:tr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  <w:lang w:val="en-US"/>
                    </w:rPr>
                    <w:t>B</w:t>
                  </w: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</w:rPr>
                    <w:t>i</w:t>
                  </w:r>
                  <w:r w:rsidRPr="000F2F0C">
                    <w:rPr>
                      <w:rFonts w:ascii="Arial CYR" w:hAnsi="Arial CYR" w:cs="Arial CYR"/>
                      <w:sz w:val="24"/>
                      <w:szCs w:val="24"/>
                    </w:rPr>
                    <w:t xml:space="preserve"> – </w:t>
                  </w:r>
                  <w:r w:rsidRPr="000F2F0C">
                    <w:rPr>
                      <w:iCs/>
                      <w:sz w:val="24"/>
                      <w:szCs w:val="24"/>
                    </w:rPr>
                    <w:t>размер собственных средств i участника за 2014 года (итог по разделу баланса «Капитал и резервы»)</w:t>
                  </w:r>
                </w:p>
              </w:tc>
            </w:tr>
          </w:tbl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2379CC" w:rsidRDefault="000F2F0C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квалификационная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2379CC" w:rsidRDefault="000F2F0C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2379CC" w:rsidRDefault="000F2F0C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0C" w:rsidRPr="002379CC" w:rsidRDefault="000F2F0C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0F2F0C" w:rsidRPr="002379CC" w:rsidTr="00D50815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0F2F0C" w:rsidRDefault="000F2F0C" w:rsidP="000F2F0C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>
              <w:rPr>
                <w:snapToGrid/>
                <w:sz w:val="24"/>
                <w:szCs w:val="24"/>
              </w:rPr>
              <w:lastRenderedPageBreak/>
              <w:t>2</w:t>
            </w:r>
            <w:r w:rsidRPr="002379CC">
              <w:rPr>
                <w:snapToGrid/>
                <w:sz w:val="24"/>
                <w:szCs w:val="24"/>
              </w:rPr>
              <w:t>.</w:t>
            </w:r>
            <w:r>
              <w:rPr>
                <w:snapToGrid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iCs/>
              </w:rPr>
              <w:t>Показатель «Размер страховых резервов»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iCs/>
              </w:rPr>
              <w:t>Вес показателя «Размер страховых резервов» - 0,3.</w:t>
            </w:r>
          </w:p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iCs/>
              </w:rPr>
              <w:t xml:space="preserve">Оценивается размер страховых резервов </w:t>
            </w:r>
            <w:r w:rsidRPr="000F2F0C">
              <w:rPr>
                <w:iCs/>
                <w:lang w:val="en-US"/>
              </w:rPr>
              <w:t>i</w:t>
            </w:r>
            <w:r w:rsidRPr="000F2F0C">
              <w:rPr>
                <w:iCs/>
              </w:rPr>
              <w:t>-го участника по следующей формуле:</w:t>
            </w:r>
          </w:p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  <w:r w:rsidRPr="000F2F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891B02" wp14:editId="57DDFF15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27940</wp:posOffset>
                      </wp:positionV>
                      <wp:extent cx="2295525" cy="506730"/>
                      <wp:effectExtent l="0" t="0" r="0" b="0"/>
                      <wp:wrapTopAndBottom/>
                      <wp:docPr id="3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5525" cy="5067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0F2F0C" w:rsidRPr="002D093B" w:rsidRDefault="00263660" w:rsidP="006F767D">
                                  <w:pPr>
                                    <w:pStyle w:val="affb"/>
                                    <w:spacing w:before="0" w:beforeAutospacing="0" w:after="0" w:afterAutospacing="0"/>
                                  </w:p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Балл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i3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E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E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min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∙4</m:t>
                                        </m:r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E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max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E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min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+1</m:t>
                                    </m:r>
                                  </m:oMath>
                                  <w:r w:rsidR="000F2F0C">
                                    <w:rPr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35pt;margin-top:2.2pt;width:180.75pt;height:39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uO/AwIAAFMEAAAOAAAAZHJzL2Uyb0RvYy54bWysVE1v2zAMvQ/YfxB0X5y6SLcZcYqtRXcZ&#10;1qHtfoAiS7EASdQoJXb260fJiTt0pw67yDbFj8f3SK+vR2fZQWE04Ft+sVhypryEzvhdy3883b37&#10;wFlMwnfCglctP6rIrzdv36yH0KgaerCdQkZJfGyG0PI+pdBUVZS9ciIuIChPlxrQiUSfuKs6FANl&#10;d7aql8uragDsAoJUMZL1drrkm5JfayXTvdZRJWZbTthSObGc23xWm7VodihCb+QJhvgHFE4YT0Xn&#10;VLciCbZH81cqZyRCBJ0WElwFWhupSg/UzcXyRTePvQiq9ELkxDDTFP9fWvnt8B2Z6Vp+yZkXjiR6&#10;UmP6DCOrMzlDiA35PAbySiOZSeSzPZIx9zxqdPlJ3TC6J5qPM7WUi0ky1vXH1apecSbpbrW8en9Z&#10;uK+eowPG9EWBY/ml5UjSFUbF4WtMhIRczy65mIc7Y222Z4gTlPKWjlZlB+sflKbOCqJsiBJ32xuL&#10;bJKf5pOQnoeAspeA7Kgp8StjTyE5WpWpe2X8HFTqg09zvDMesBBRdkLlBg6CpjmNRQgCrif/MxUT&#10;AZmLNG7Hou0s5Ra6IylJC5vu6dAWhpZLawJnPeCvl7aBFqPl8edeoOIMk72BaY+El+RPIAoyD5/2&#10;CbQpMuXCU5kTIJrcot5py/Jq/PldvJ7/BZvfAAAA//8DAFBLAwQUAAYACAAAACEAH5en5tsAAAAH&#10;AQAADwAAAGRycy9kb3ducmV2LnhtbEyOTU/DMBBE70j8B2uRuFGbEGgJ2VQIxBXU8iFxc+NtEhGv&#10;o9htwr9nOcFxNKM3r1zPvldHGmMXGOFyYUAR18F13CC8vT5drEDFZNnZPjAhfFOEdXV6UtrChYk3&#10;dNymRgmEY2ER2pSGQutYt+RtXISBWLp9GL1NEsdGu9FOAve9zoy50d52LA+tHeihpfpre/AI78/7&#10;z4/cvDSP/nqYwmw0+1uNeH4239+BSjSnvzH86os6VOK0Cwd2UfWSzVKWCHkOSuqrZZaB2iGs8gx0&#10;Ver//tUPAAAA//8DAFBLAQItABQABgAIAAAAIQC2gziS/gAAAOEBAAATAAAAAAAAAAAAAAAAAAAA&#10;AABbQ29udGVudF9UeXBlc10ueG1sUEsBAi0AFAAGAAgAAAAhADj9If/WAAAAlAEAAAsAAAAAAAAA&#10;AAAAAAAALwEAAF9yZWxzLy5yZWxzUEsBAi0AFAAGAAgAAAAhAHxq478DAgAAUwQAAA4AAAAAAAAA&#10;AAAAAAAALgIAAGRycy9lMm9Eb2MueG1sUEsBAi0AFAAGAAgAAAAhAB+Xp+bbAAAABwEAAA8AAAAA&#10;AAAAAAAAAAAAXQQAAGRycy9kb3ducmV2LnhtbFBLBQYAAAAABAAEAPMAAABlBQAAAAA=&#10;" filled="f" stroked="f">
                      <v:textbox>
                        <w:txbxContent>
                          <w:p w:rsidR="000F2F0C" w:rsidRPr="002D093B" w:rsidRDefault="004B25A4" w:rsidP="006F767D">
                            <w:pPr>
                              <w:pStyle w:val="affb"/>
                              <w:spacing w:before="0" w:beforeAutospacing="0" w:after="0" w:afterAutospacing="0"/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Балл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i3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min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w:rPr>
                                      <w:rFonts w:ascii="Cambria Math" w:eastAsia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∙4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max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min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+1</m:t>
                              </m:r>
                            </m:oMath>
                            <w:r w:rsidR="000F2F0C">
                              <w:rPr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0F2F0C">
              <w:rPr>
                <w:iCs/>
              </w:rPr>
              <w:t>где:</w:t>
            </w:r>
          </w:p>
          <w:tbl>
            <w:tblPr>
              <w:tblW w:w="4948" w:type="dxa"/>
              <w:tblLayout w:type="fixed"/>
              <w:tblLook w:val="04A0" w:firstRow="1" w:lastRow="0" w:firstColumn="1" w:lastColumn="0" w:noHBand="0" w:noVBand="1"/>
            </w:tblPr>
            <w:tblGrid>
              <w:gridCol w:w="4948"/>
            </w:tblGrid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0F2F0C">
                    <w:rPr>
                      <w:i/>
                      <w:iCs/>
                      <w:sz w:val="24"/>
                      <w:szCs w:val="24"/>
                    </w:rPr>
                    <w:t xml:space="preserve">Балл </w:t>
                  </w:r>
                  <w:r w:rsidRPr="000F2F0C">
                    <w:rPr>
                      <w:i/>
                      <w:iCs/>
                      <w:sz w:val="24"/>
                      <w:szCs w:val="24"/>
                      <w:vertAlign w:val="subscript"/>
                    </w:rPr>
                    <w:t>i3</w:t>
                  </w:r>
                  <w:r w:rsidRPr="000F2F0C">
                    <w:rPr>
                      <w:sz w:val="24"/>
                      <w:szCs w:val="24"/>
                    </w:rPr>
                    <w:t xml:space="preserve"> – бальная оценка по критерию для i-го </w:t>
                  </w:r>
                </w:p>
                <w:p w:rsidR="000F2F0C" w:rsidRPr="000F2F0C" w:rsidRDefault="000F2F0C" w:rsidP="000F2F0C">
                  <w:pPr>
                    <w:spacing w:line="240" w:lineRule="auto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sz w:val="24"/>
                      <w:szCs w:val="24"/>
                    </w:rPr>
                    <w:t>Участника по оцениваемому критерию 2.3;</w:t>
                  </w:r>
                </w:p>
              </w:tc>
            </w:tr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  <w:lang w:val="en-US"/>
                    </w:rPr>
                    <w:t>E</w:t>
                  </w: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</w:rPr>
                    <w:t xml:space="preserve">max </w:t>
                  </w:r>
                  <w:r w:rsidRPr="000F2F0C">
                    <w:rPr>
                      <w:rFonts w:ascii="Arial CYR" w:hAnsi="Arial CYR" w:cs="Arial CYR"/>
                      <w:sz w:val="24"/>
                      <w:szCs w:val="24"/>
                    </w:rPr>
                    <w:t xml:space="preserve">– </w:t>
                  </w:r>
                  <w:r w:rsidRPr="000F2F0C">
                    <w:rPr>
                      <w:iCs/>
                      <w:sz w:val="24"/>
                      <w:szCs w:val="24"/>
                    </w:rPr>
                    <w:t>максимальный размер страховых резервов среди всех участников за 2014 год.</w:t>
                  </w:r>
                </w:p>
              </w:tc>
            </w:tr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  <w:lang w:val="en-US"/>
                    </w:rPr>
                    <w:t>E</w:t>
                  </w: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</w:rPr>
                    <w:t>min</w:t>
                  </w:r>
                  <w:r w:rsidRPr="000F2F0C">
                    <w:rPr>
                      <w:rFonts w:ascii="Arial CYR" w:hAnsi="Arial CYR" w:cs="Arial CYR"/>
                      <w:sz w:val="24"/>
                      <w:szCs w:val="24"/>
                    </w:rPr>
                    <w:t xml:space="preserve"> – </w:t>
                  </w:r>
                  <w:r w:rsidRPr="000F2F0C">
                    <w:rPr>
                      <w:iCs/>
                      <w:sz w:val="24"/>
                      <w:szCs w:val="24"/>
                    </w:rPr>
                    <w:t>минимальный размер страховых резервов среди всех участников за 2014 год.</w:t>
                  </w:r>
                </w:p>
              </w:tc>
            </w:tr>
            <w:tr w:rsidR="000F2F0C" w:rsidRPr="000F2F0C" w:rsidTr="00173C41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F0C" w:rsidRPr="000F2F0C" w:rsidRDefault="000F2F0C" w:rsidP="000F2F0C">
                  <w:pPr>
                    <w:spacing w:line="240" w:lineRule="auto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  <w:lang w:val="en-US"/>
                    </w:rPr>
                    <w:t>E</w:t>
                  </w:r>
                  <w:r w:rsidRPr="000F2F0C">
                    <w:rPr>
                      <w:rFonts w:ascii="Arial CYR" w:hAnsi="Arial CYR" w:cs="Arial CYR"/>
                      <w:i/>
                      <w:iCs/>
                      <w:sz w:val="24"/>
                      <w:szCs w:val="24"/>
                    </w:rPr>
                    <w:t>i</w:t>
                  </w:r>
                  <w:r w:rsidRPr="000F2F0C">
                    <w:rPr>
                      <w:rFonts w:ascii="Arial CYR" w:hAnsi="Arial CYR" w:cs="Arial CYR"/>
                      <w:sz w:val="24"/>
                      <w:szCs w:val="24"/>
                    </w:rPr>
                    <w:t xml:space="preserve"> – </w:t>
                  </w:r>
                  <w:r w:rsidRPr="000F2F0C">
                    <w:rPr>
                      <w:iCs/>
                      <w:sz w:val="24"/>
                      <w:szCs w:val="24"/>
                    </w:rPr>
                    <w:t>величина страховых резервов i-го участника за 2014 год.</w:t>
                  </w:r>
                </w:p>
              </w:tc>
            </w:tr>
          </w:tbl>
          <w:p w:rsidR="000F2F0C" w:rsidRPr="000F2F0C" w:rsidRDefault="000F2F0C" w:rsidP="000F2F0C">
            <w:pPr>
              <w:pStyle w:val="affa"/>
              <w:ind w:left="0"/>
              <w:rPr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2379CC" w:rsidRDefault="000F2F0C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2379CC" w:rsidRDefault="000F2F0C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2379CC" w:rsidRDefault="000F2F0C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0C" w:rsidRPr="002379CC" w:rsidRDefault="000F2F0C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0F2F0C" w:rsidRPr="0094353B" w:rsidTr="00D50815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49761D" w:rsidRDefault="000F2F0C" w:rsidP="00173C41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D111EE" w:rsidRDefault="000F2F0C" w:rsidP="00173C41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CA5" w:rsidRDefault="00316CA5" w:rsidP="00316CA5">
            <w:pPr>
              <w:pStyle w:val="affa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Значимость критерия – 0,05</w:t>
            </w:r>
          </w:p>
          <w:p w:rsidR="00316CA5" w:rsidRPr="004B25A4" w:rsidRDefault="00316CA5" w:rsidP="000F2F0C">
            <w:pPr>
              <w:spacing w:line="240" w:lineRule="auto"/>
              <w:ind w:firstLine="0"/>
              <w:rPr>
                <w:sz w:val="24"/>
              </w:rPr>
            </w:pPr>
          </w:p>
          <w:p w:rsidR="000F2F0C" w:rsidRPr="0094353B" w:rsidRDefault="000F2F0C" w:rsidP="000F2F0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В соответствии с наличием стоп и риск факторов, указанных в Т.1 Закупочной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94353B" w:rsidRDefault="000F2F0C" w:rsidP="00173C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экономической безопасности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94353B" w:rsidRDefault="000F2F0C" w:rsidP="00173C41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94353B" w:rsidRDefault="000F2F0C" w:rsidP="00173C41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F0C" w:rsidRPr="0094353B" w:rsidRDefault="000F2F0C" w:rsidP="00173C41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D50815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0F2F0C" w:rsidRDefault="000F2F0C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val="en-US"/>
              </w:rPr>
            </w:pPr>
            <w:r>
              <w:rPr>
                <w:b/>
                <w:snapToGrid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</w:t>
            </w:r>
            <w:r w:rsidR="00F7480F">
              <w:rPr>
                <w:b/>
                <w:sz w:val="24"/>
                <w:szCs w:val="24"/>
              </w:rPr>
              <w:t>услуг: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0F2F0C" w:rsidRPr="0094353B" w:rsidTr="00D50815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2379CC" w:rsidRDefault="000F2F0C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  <w:lang w:val="en-US"/>
              </w:rPr>
              <w:t>4</w:t>
            </w:r>
            <w:r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Default="000F2F0C" w:rsidP="000F2F0C">
            <w:pPr>
              <w:pStyle w:val="affa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 xml:space="preserve">Цена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0C" w:rsidRPr="000F2F0C" w:rsidRDefault="000F2F0C" w:rsidP="00173C41">
            <w:pPr>
              <w:pStyle w:val="affa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Значимость критерия – 0,</w:t>
            </w:r>
            <w:r w:rsidRPr="000F2F0C">
              <w:rPr>
                <w:b/>
                <w:iCs/>
              </w:rPr>
              <w:t>2</w:t>
            </w:r>
          </w:p>
          <w:p w:rsidR="000F2F0C" w:rsidRDefault="000F2F0C" w:rsidP="00173C41">
            <w:pPr>
              <w:pStyle w:val="affa"/>
              <w:ind w:left="0"/>
              <w:rPr>
                <w:iCs/>
              </w:rPr>
            </w:pPr>
            <w:r>
              <w:rPr>
                <w:iCs/>
              </w:rPr>
              <w:t>Максимальное значение в баллах – 5</w:t>
            </w:r>
          </w:p>
          <w:p w:rsidR="000F2F0C" w:rsidRDefault="000F2F0C" w:rsidP="00173C41">
            <w:pPr>
              <w:pStyle w:val="affa"/>
              <w:ind w:left="0"/>
              <w:rPr>
                <w:iCs/>
              </w:rPr>
            </w:pPr>
            <w:r>
              <w:rPr>
                <w:iCs/>
              </w:rPr>
              <w:t xml:space="preserve">Оценка по критерию «Цена договора» </w:t>
            </w:r>
          </w:p>
          <w:p w:rsidR="000F2F0C" w:rsidRDefault="000F2F0C" w:rsidP="00173C41">
            <w:pPr>
              <w:pStyle w:val="affa"/>
              <w:ind w:left="0"/>
              <w:rPr>
                <w:b/>
                <w:i/>
                <w:iCs/>
              </w:rPr>
            </w:pPr>
            <w:r w:rsidRPr="00A12C56">
              <w:rPr>
                <w:b/>
                <w:i/>
                <w:iCs/>
              </w:rPr>
              <w:t>Согласно Приложения 5 (</w:t>
            </w:r>
            <w:r w:rsidRPr="00A12C56">
              <w:rPr>
                <w:b/>
                <w:i/>
                <w:iCs/>
                <w:lang w:val="en-US"/>
              </w:rPr>
              <w:t>Excel</w:t>
            </w:r>
            <w:r w:rsidRPr="00A12C56">
              <w:rPr>
                <w:b/>
                <w:i/>
                <w:iCs/>
              </w:rPr>
              <w:t>) Тома 3 ЗД</w:t>
            </w:r>
          </w:p>
          <w:p w:rsidR="000F2F0C" w:rsidRDefault="000F2F0C" w:rsidP="00173C41">
            <w:pPr>
              <w:pStyle w:val="affa"/>
              <w:ind w:left="0"/>
              <w:rPr>
                <w:iCs/>
              </w:rPr>
            </w:pPr>
            <w:r>
              <w:rPr>
                <w:iCs/>
              </w:rPr>
              <w:t>Максимальное значение в баллах по критерию – 5 баллов.</w:t>
            </w:r>
          </w:p>
          <w:p w:rsidR="000F2F0C" w:rsidRDefault="000F2F0C" w:rsidP="00173C41">
            <w:pPr>
              <w:pStyle w:val="affa"/>
              <w:ind w:left="0"/>
              <w:rPr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Default="000F2F0C" w:rsidP="000F2F0C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Коммерческая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94353B" w:rsidRDefault="000F2F0C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F0C" w:rsidRPr="0094353B" w:rsidRDefault="000F2F0C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0C" w:rsidRPr="0094353B" w:rsidRDefault="000F2F0C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lastRenderedPageBreak/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BE6089" w:rsidRDefault="00BE6089" w:rsidP="000F2F0C">
      <w:pPr>
        <w:pStyle w:val="a7"/>
        <w:jc w:val="right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A4" w:rsidRDefault="004B25A4">
    <w:pPr>
      <w:pStyle w:val="ab"/>
    </w:pPr>
  </w:p>
  <w:p w:rsidR="00D50815" w:rsidRPr="00D50815" w:rsidRDefault="00D50815" w:rsidP="00D50815">
    <w:pPr>
      <w:pStyle w:val="ab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8D054E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9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1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4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4"/>
  </w:num>
  <w:num w:numId="9">
    <w:abstractNumId w:val="21"/>
  </w:num>
  <w:num w:numId="10">
    <w:abstractNumId w:val="7"/>
  </w:num>
  <w:num w:numId="11">
    <w:abstractNumId w:val="12"/>
  </w:num>
  <w:num w:numId="12">
    <w:abstractNumId w:val="16"/>
  </w:num>
  <w:num w:numId="13">
    <w:abstractNumId w:val="14"/>
  </w:num>
  <w:num w:numId="14">
    <w:abstractNumId w:val="3"/>
  </w:num>
  <w:num w:numId="15">
    <w:abstractNumId w:val="23"/>
  </w:num>
  <w:num w:numId="16">
    <w:abstractNumId w:val="18"/>
  </w:num>
  <w:num w:numId="17">
    <w:abstractNumId w:val="8"/>
  </w:num>
  <w:num w:numId="18">
    <w:abstractNumId w:val="6"/>
  </w:num>
  <w:num w:numId="19">
    <w:abstractNumId w:val="2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"/>
  </w:num>
  <w:num w:numId="23">
    <w:abstractNumId w:val="5"/>
  </w:num>
  <w:num w:numId="24">
    <w:abstractNumId w:val="19"/>
  </w:num>
  <w:num w:numId="25">
    <w:abstractNumId w:val="22"/>
  </w:num>
  <w:num w:numId="26">
    <w:abstractNumId w:val="22"/>
  </w:num>
  <w:num w:numId="27">
    <w:abstractNumId w:val="22"/>
  </w:num>
  <w:num w:numId="28">
    <w:abstractNumId w:val="0"/>
  </w:num>
  <w:num w:numId="29">
    <w:abstractNumId w:val="0"/>
  </w:num>
  <w:num w:numId="30">
    <w:abstractNumId w:val="2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2F0C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9412F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3660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16CA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17B51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25A4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22CA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66B2"/>
    <w:rsid w:val="00C073B8"/>
    <w:rsid w:val="00C14143"/>
    <w:rsid w:val="00C245A7"/>
    <w:rsid w:val="00C263EA"/>
    <w:rsid w:val="00C34F67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0815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uiPriority w:val="99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uiPriority w:val="99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styleId="affb">
    <w:name w:val="Normal (Web)"/>
    <w:basedOn w:val="a0"/>
    <w:uiPriority w:val="99"/>
    <w:unhideWhenUsed/>
    <w:rsid w:val="000F2F0C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uiPriority w:val="99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uiPriority w:val="99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styleId="affb">
    <w:name w:val="Normal (Web)"/>
    <w:basedOn w:val="a0"/>
    <w:uiPriority w:val="99"/>
    <w:unhideWhenUsed/>
    <w:rsid w:val="000F2F0C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E198-203C-4A11-8419-7AA1048A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2638</Words>
  <Characters>20282</Characters>
  <Application>Microsoft Office Word</Application>
  <DocSecurity>0</DocSecurity>
  <Lines>169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Ефимов Андрей Александрович</dc:creator>
  <cp:lastModifiedBy>Ефимов Андрей Александрович</cp:lastModifiedBy>
  <cp:revision>7</cp:revision>
  <cp:lastPrinted>2011-09-26T05:32:00Z</cp:lastPrinted>
  <dcterms:created xsi:type="dcterms:W3CDTF">2015-08-03T10:22:00Z</dcterms:created>
  <dcterms:modified xsi:type="dcterms:W3CDTF">2015-11-09T09:38:00Z</dcterms:modified>
</cp:coreProperties>
</file>